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0" w:rsidRDefault="00716000" w:rsidP="00716000">
      <w:pPr>
        <w:spacing w:after="0" w:line="360" w:lineRule="auto"/>
        <w:jc w:val="center"/>
        <w:rPr>
          <w:rFonts w:eastAsia="Times New Roman" w:cs="Arial"/>
          <w:b/>
          <w:color w:val="000000" w:themeColor="text1"/>
          <w:u w:val="single"/>
          <w:lang w:eastAsia="en-GB"/>
        </w:rPr>
      </w:pPr>
      <w:r w:rsidRPr="00716000">
        <w:rPr>
          <w:rFonts w:eastAsia="Times New Roman" w:cs="Arial"/>
          <w:b/>
          <w:noProof/>
          <w:color w:val="000000" w:themeColor="text1"/>
          <w:u w:val="single"/>
          <w:lang w:eastAsia="en-GB"/>
        </w:rPr>
        <w:drawing>
          <wp:inline distT="0" distB="0" distL="0" distR="0">
            <wp:extent cx="1905000" cy="1097280"/>
            <wp:effectExtent l="0" t="0" r="0" b="7620"/>
            <wp:docPr id="1" name="Picture 1" descr="M:\Website Logos and Branding\onecall24-logo-mail-BGgrey%5b2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ebsite Logos and Branding\onecall24-logo-mail-BGgrey%5b2%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00" w:rsidRDefault="00716000" w:rsidP="00716000">
      <w:pPr>
        <w:spacing w:after="0" w:line="360" w:lineRule="auto"/>
        <w:jc w:val="center"/>
        <w:rPr>
          <w:rFonts w:eastAsia="Times New Roman" w:cs="Arial"/>
          <w:b/>
          <w:color w:val="000000" w:themeColor="text1"/>
          <w:u w:val="single"/>
          <w:lang w:eastAsia="en-GB"/>
        </w:rPr>
      </w:pPr>
    </w:p>
    <w:p w:rsidR="006B315D" w:rsidRDefault="006D1DFD" w:rsidP="006B315D">
      <w:pPr>
        <w:spacing w:line="240" w:lineRule="auto"/>
        <w:contextualSpacing/>
        <w:rPr>
          <w:b/>
          <w:color w:val="000000" w:themeColor="text1"/>
          <w:szCs w:val="24"/>
          <w:u w:val="single"/>
        </w:rPr>
      </w:pPr>
      <w:r w:rsidRPr="006D1DFD">
        <w:rPr>
          <w:b/>
          <w:color w:val="000000" w:themeColor="text1"/>
          <w:szCs w:val="24"/>
          <w:u w:val="single"/>
        </w:rPr>
        <w:t>Verification of statutory &amp; mandatory and clinical/care core training checks</w:t>
      </w:r>
    </w:p>
    <w:p w:rsidR="006D1DFD" w:rsidRPr="00EC4BFF" w:rsidRDefault="006D1DFD" w:rsidP="006B315D">
      <w:pPr>
        <w:spacing w:line="240" w:lineRule="auto"/>
        <w:contextualSpacing/>
        <w:rPr>
          <w:b/>
          <w:color w:val="000000" w:themeColor="text1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Policy Number</w:t>
            </w:r>
          </w:p>
        </w:tc>
        <w:tc>
          <w:tcPr>
            <w:tcW w:w="4508" w:type="dxa"/>
          </w:tcPr>
          <w:p w:rsidR="00716000" w:rsidRDefault="00C76C2C" w:rsidP="005D2A01">
            <w:r>
              <w:t>33</w:t>
            </w:r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Version</w:t>
            </w:r>
          </w:p>
        </w:tc>
        <w:tc>
          <w:tcPr>
            <w:tcW w:w="4508" w:type="dxa"/>
          </w:tcPr>
          <w:p w:rsidR="00716000" w:rsidRDefault="00716000" w:rsidP="005D2A01">
            <w:r>
              <w:t>1</w:t>
            </w:r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Policy Contact</w:t>
            </w:r>
          </w:p>
        </w:tc>
        <w:tc>
          <w:tcPr>
            <w:tcW w:w="4508" w:type="dxa"/>
          </w:tcPr>
          <w:p w:rsidR="00716000" w:rsidRDefault="00716000" w:rsidP="005D2A01">
            <w:r>
              <w:t>Matthew Betteridge</w:t>
            </w:r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Date Issued</w:t>
            </w:r>
          </w:p>
        </w:tc>
        <w:tc>
          <w:tcPr>
            <w:tcW w:w="4508" w:type="dxa"/>
          </w:tcPr>
          <w:p w:rsidR="00716000" w:rsidRDefault="003F4E19" w:rsidP="00941503">
            <w:r>
              <w:t>1</w:t>
            </w:r>
            <w:r w:rsidR="00941503" w:rsidRPr="00941503">
              <w:rPr>
                <w:vertAlign w:val="superscript"/>
              </w:rPr>
              <w:t>st</w:t>
            </w:r>
            <w:r w:rsidR="00941503">
              <w:t xml:space="preserve"> </w:t>
            </w:r>
            <w:r w:rsidR="003D0B1B">
              <w:t>November</w:t>
            </w:r>
            <w:r w:rsidR="00941503">
              <w:t xml:space="preserve"> 2017</w:t>
            </w:r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Review Date</w:t>
            </w:r>
          </w:p>
        </w:tc>
        <w:tc>
          <w:tcPr>
            <w:tcW w:w="4508" w:type="dxa"/>
          </w:tcPr>
          <w:p w:rsidR="00716000" w:rsidRDefault="00941503" w:rsidP="003D0B1B">
            <w:r>
              <w:t>1</w:t>
            </w:r>
            <w:r w:rsidRPr="00941503">
              <w:rPr>
                <w:vertAlign w:val="superscript"/>
              </w:rPr>
              <w:t>st</w:t>
            </w:r>
            <w:r>
              <w:t xml:space="preserve"> </w:t>
            </w:r>
            <w:r w:rsidR="00291757">
              <w:t>November</w:t>
            </w:r>
            <w:r>
              <w:t xml:space="preserve"> 2018</w:t>
            </w:r>
            <w:bookmarkStart w:id="0" w:name="_GoBack"/>
            <w:bookmarkEnd w:id="0"/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Target Audience</w:t>
            </w:r>
          </w:p>
        </w:tc>
        <w:tc>
          <w:tcPr>
            <w:tcW w:w="4508" w:type="dxa"/>
          </w:tcPr>
          <w:p w:rsidR="00716000" w:rsidRDefault="00716000" w:rsidP="005D2A01">
            <w:r>
              <w:t>Agency Workers</w:t>
            </w:r>
          </w:p>
        </w:tc>
      </w:tr>
      <w:tr w:rsidR="00716000" w:rsidTr="005D2A01">
        <w:tc>
          <w:tcPr>
            <w:tcW w:w="4508" w:type="dxa"/>
          </w:tcPr>
          <w:p w:rsidR="00716000" w:rsidRPr="00A10267" w:rsidRDefault="00716000" w:rsidP="005D2A01">
            <w:pPr>
              <w:rPr>
                <w:b/>
              </w:rPr>
            </w:pPr>
            <w:r w:rsidRPr="00A10267">
              <w:rPr>
                <w:b/>
              </w:rPr>
              <w:t>Approved by</w:t>
            </w:r>
          </w:p>
        </w:tc>
        <w:tc>
          <w:tcPr>
            <w:tcW w:w="4508" w:type="dxa"/>
          </w:tcPr>
          <w:p w:rsidR="00716000" w:rsidRDefault="00716000" w:rsidP="005D2A01">
            <w:r>
              <w:t>OneCall24 Policy Team</w:t>
            </w:r>
          </w:p>
        </w:tc>
      </w:tr>
    </w:tbl>
    <w:p w:rsidR="006B315D" w:rsidRDefault="006B315D" w:rsidP="006B315D">
      <w:pPr>
        <w:spacing w:line="240" w:lineRule="auto"/>
        <w:contextualSpacing/>
        <w:rPr>
          <w:b/>
          <w:color w:val="000000" w:themeColor="text1"/>
          <w:szCs w:val="24"/>
          <w:u w:val="single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 xml:space="preserve">One Call 24’s aim is to ensure that all temporary staffed placed by them are sufficiently experienced, skilled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and</w:t>
      </w:r>
      <w:proofErr w:type="gramEnd"/>
      <w:r w:rsidRPr="002F595F">
        <w:rPr>
          <w:color w:val="000000" w:themeColor="text1"/>
        </w:rPr>
        <w:t xml:space="preserve"> trained. In order to do this, proof of mandatory training is asked for and obtained as part of the initial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recruitment</w:t>
      </w:r>
      <w:proofErr w:type="gramEnd"/>
      <w:r w:rsidRPr="002F595F">
        <w:rPr>
          <w:color w:val="000000" w:themeColor="text1"/>
        </w:rPr>
        <w:t xml:space="preserve"> process. </w:t>
      </w:r>
    </w:p>
    <w:p w:rsidR="002F595F" w:rsidRPr="002F595F" w:rsidRDefault="002F595F" w:rsidP="003F4E19">
      <w:pPr>
        <w:spacing w:line="240" w:lineRule="auto"/>
        <w:contextualSpacing/>
        <w:rPr>
          <w:color w:val="000000" w:themeColor="text1"/>
        </w:rPr>
      </w:pPr>
    </w:p>
    <w:p w:rsidR="002F595F" w:rsidRPr="002F595F" w:rsidRDefault="002F595F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>Evidence of training completed by the candidate is asked for within the Application Form and also required to be supplied as part of the Employment History/CV – full detailing what training has been completed and when.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 xml:space="preserve"> 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 xml:space="preserve">Candidates will be asked to supply all original certificates of training completed in line with the job role and </w:t>
      </w:r>
    </w:p>
    <w:p w:rsidR="003F4E19" w:rsidRPr="002F595F" w:rsidRDefault="003F4E19" w:rsidP="003F4E19">
      <w:pPr>
        <w:spacing w:line="240" w:lineRule="auto"/>
        <w:contextualSpacing/>
      </w:pPr>
      <w:proofErr w:type="gramStart"/>
      <w:r w:rsidRPr="002F595F">
        <w:rPr>
          <w:color w:val="000000" w:themeColor="text1"/>
        </w:rPr>
        <w:t>the</w:t>
      </w:r>
      <w:proofErr w:type="gramEnd"/>
      <w:r w:rsidRPr="002F595F">
        <w:rPr>
          <w:color w:val="000000" w:themeColor="text1"/>
        </w:rPr>
        <w:t xml:space="preserve"> job role they are applying for. At all times, One Call 24 </w:t>
      </w:r>
      <w:r w:rsidRPr="002F595F">
        <w:t xml:space="preserve">comply with latest Skills for Health UK Core Skills Training Framework (see </w:t>
      </w:r>
      <w:hyperlink r:id="rId9" w:history="1">
        <w:r w:rsidRPr="002F595F">
          <w:rPr>
            <w:rStyle w:val="Hyperlink"/>
            <w:rFonts w:cs="Arial"/>
          </w:rPr>
          <w:t>www.skillsforhealth.org.uk/services/item/146-core-skills-training-framework</w:t>
        </w:r>
      </w:hyperlink>
      <w:r w:rsidRPr="002F595F">
        <w:t>)</w:t>
      </w:r>
      <w:r w:rsidR="002F595F" w:rsidRPr="002F595F">
        <w:t>. Certificates will be checked against the information supplied within the CV and Application Form.</w:t>
      </w:r>
    </w:p>
    <w:p w:rsidR="003F4E19" w:rsidRPr="002F595F" w:rsidRDefault="003F4E19" w:rsidP="003F4E19">
      <w:pPr>
        <w:spacing w:line="240" w:lineRule="auto"/>
        <w:contextualSpacing/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 xml:space="preserve">Only original certificates will be accepted. These will be scanned onto the system, signed and dated as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original</w:t>
      </w:r>
      <w:proofErr w:type="gramEnd"/>
      <w:r w:rsidRPr="002F595F">
        <w:rPr>
          <w:color w:val="000000" w:themeColor="text1"/>
        </w:rPr>
        <w:t xml:space="preserve"> seen by One Call 24. One Call 24 will then proceed to contact the issuing bodies in order to establish: </w:t>
      </w:r>
    </w:p>
    <w:p w:rsidR="003F4E19" w:rsidRPr="002F595F" w:rsidRDefault="003F4E19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 xml:space="preserve">Course content </w:t>
      </w:r>
    </w:p>
    <w:p w:rsidR="003F4E19" w:rsidRPr="002F595F" w:rsidRDefault="003F4E19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 xml:space="preserve">Module levels completed </w:t>
      </w:r>
    </w:p>
    <w:p w:rsidR="003F4E19" w:rsidRPr="002F595F" w:rsidRDefault="003F4E19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Online or practical training</w:t>
      </w:r>
    </w:p>
    <w:p w:rsidR="003F4E19" w:rsidRPr="002F595F" w:rsidRDefault="003F4E19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 xml:space="preserve">Confirmation of issue/expiry dates </w:t>
      </w:r>
    </w:p>
    <w:p w:rsidR="003F4E19" w:rsidRPr="002F595F" w:rsidRDefault="003F4E19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 xml:space="preserve">Authenticity of the training certificates  </w:t>
      </w:r>
    </w:p>
    <w:p w:rsidR="005246BC" w:rsidRPr="002F595F" w:rsidRDefault="005246BC" w:rsidP="003F4E19">
      <w:pPr>
        <w:pStyle w:val="ListParagraph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Alignment to the Skills for Health Framework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>Where any discrepancies arise, these will be escalated to the relevant bodies and may delay or stop the</w:t>
      </w:r>
      <w:r w:rsidR="005246BC" w:rsidRPr="002F595F">
        <w:rPr>
          <w:color w:val="000000" w:themeColor="text1"/>
        </w:rPr>
        <w:t xml:space="preserve"> recruitment</w:t>
      </w:r>
      <w:r w:rsidRPr="002F595F">
        <w:rPr>
          <w:color w:val="000000" w:themeColor="text1"/>
        </w:rPr>
        <w:t xml:space="preserve"> process. This includes: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Framework</w:t>
      </w:r>
    </w:p>
    <w:p w:rsidR="003F4E19" w:rsidRPr="002F595F" w:rsidRDefault="003F4E19" w:rsidP="003F4E19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Authority</w:t>
      </w:r>
    </w:p>
    <w:p w:rsidR="003F4E19" w:rsidRPr="002F595F" w:rsidRDefault="003F4E19" w:rsidP="003F4E19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Participating Authority</w:t>
      </w:r>
    </w:p>
    <w:p w:rsidR="003F4E19" w:rsidRPr="002F595F" w:rsidRDefault="003F4E19" w:rsidP="003F4E19">
      <w:pPr>
        <w:pStyle w:val="ListParagraph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2F595F">
        <w:rPr>
          <w:color w:val="000000" w:themeColor="text1"/>
        </w:rPr>
        <w:t>NHS Protect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lastRenderedPageBreak/>
        <w:t xml:space="preserve">Should there be any gaps identified within the candidate’s training, skills and/or expertise, One Call 24 will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look</w:t>
      </w:r>
      <w:proofErr w:type="gramEnd"/>
      <w:r w:rsidRPr="002F595F">
        <w:rPr>
          <w:color w:val="000000" w:themeColor="text1"/>
        </w:rPr>
        <w:t xml:space="preserve"> to offer and provide the necessary assistance to ensure that the candidate is fully compliant to a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standard</w:t>
      </w:r>
      <w:proofErr w:type="gramEnd"/>
      <w:r w:rsidRPr="002F595F">
        <w:rPr>
          <w:color w:val="000000" w:themeColor="text1"/>
        </w:rPr>
        <w:t xml:space="preserve"> that meets the customer’s requirements. This can include: setting up additional mandatory training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proofErr w:type="gramStart"/>
      <w:r w:rsidRPr="002F595F">
        <w:rPr>
          <w:color w:val="000000" w:themeColor="text1"/>
        </w:rPr>
        <w:t>for</w:t>
      </w:r>
      <w:proofErr w:type="gramEnd"/>
      <w:r w:rsidRPr="002F595F">
        <w:rPr>
          <w:color w:val="000000" w:themeColor="text1"/>
        </w:rPr>
        <w:t xml:space="preserve"> the candidate or refresher training depending on the need. 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>All candidates will be required to complete the following training modules: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88"/>
        <w:gridCol w:w="1582"/>
        <w:gridCol w:w="5028"/>
      </w:tblGrid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>Subject</w:t>
            </w:r>
          </w:p>
        </w:tc>
        <w:tc>
          <w:tcPr>
            <w:tcW w:w="16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>Level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 xml:space="preserve">Once on recruitment and then followed by CSFT recommended proposed refresher period, </w:t>
            </w:r>
            <w:r w:rsidRPr="002F595F">
              <w:rPr>
                <w:rFonts w:asciiTheme="minorHAnsi" w:eastAsiaTheme="minorHAnsi" w:hAnsiTheme="minorHAnsi"/>
              </w:rPr>
              <w:t>although refresher training may be needed based upon local risk assessment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Equality, Diversity &amp; Human Rights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Health, Safety &amp; Welfare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Three (3) Years, although further job specific training may be needed based upon local risk assessment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NHS Conflict Resolution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Fire Safety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Two (2) Years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Infection Prevention &amp; Control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one</w:t>
            </w: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two</w:t>
            </w:r>
          </w:p>
        </w:tc>
        <w:tc>
          <w:tcPr>
            <w:tcW w:w="5177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Moving and Handling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one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two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Annual, although refresher training may be needed based upon local risk assessment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Safeguarding Adults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one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two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Safeguarding Children (version 2)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one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two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three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Resuscitation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one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Merge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two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 xml:space="preserve">Annual </w:t>
            </w:r>
          </w:p>
        </w:tc>
      </w:tr>
      <w:tr w:rsidR="003F4E19" w:rsidRPr="002F595F" w:rsidTr="001E00A6">
        <w:tc>
          <w:tcPr>
            <w:tcW w:w="2430" w:type="dxa"/>
            <w:vMerge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Level three</w:t>
            </w: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Information Governance</w:t>
            </w:r>
          </w:p>
        </w:tc>
        <w:tc>
          <w:tcPr>
            <w:tcW w:w="16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5177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</w:tbl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pStyle w:val="GPSL2Numbered"/>
        <w:tabs>
          <w:tab w:val="clear" w:pos="1134"/>
        </w:tabs>
        <w:spacing w:before="60" w:after="60"/>
        <w:ind w:left="630"/>
        <w:rPr>
          <w:rFonts w:asciiTheme="minorHAnsi" w:eastAsiaTheme="minorHAnsi" w:hAnsiTheme="minorHAnsi"/>
        </w:rPr>
      </w:pPr>
      <w:r w:rsidRPr="002F595F">
        <w:rPr>
          <w:rFonts w:asciiTheme="minorHAnsi" w:hAnsiTheme="minorHAnsi"/>
          <w:color w:val="000000" w:themeColor="text1"/>
        </w:rPr>
        <w:t xml:space="preserve">In addition to this, </w:t>
      </w:r>
      <w:r w:rsidRPr="002F595F">
        <w:rPr>
          <w:rFonts w:asciiTheme="minorHAnsi" w:eastAsiaTheme="minorHAnsi" w:hAnsiTheme="minorHAnsi"/>
        </w:rPr>
        <w:t>as required by the normal duties expected to be performed by the Temporary Agency Worker on the Assignment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90"/>
        <w:gridCol w:w="2385"/>
        <w:gridCol w:w="4223"/>
      </w:tblGrid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lastRenderedPageBreak/>
              <w:t>Subject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>Level</w:t>
            </w:r>
          </w:p>
        </w:tc>
        <w:tc>
          <w:tcPr>
            <w:tcW w:w="4367" w:type="dxa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>Once on recruitment and then followed by CSFT recommended proposed refresher period</w:t>
            </w:r>
            <w:r w:rsidRPr="002F595F">
              <w:rPr>
                <w:rFonts w:asciiTheme="minorHAnsi" w:eastAsiaTheme="minorHAnsi" w:hAnsiTheme="minorHAnsi"/>
              </w:rPr>
              <w:t>, although refresher training may be needed based upon local risk assessment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Your healthcare career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Duty of care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Person-centred care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Communication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Consent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Privacy and dignity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Fluids and nutrition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Dementia Awareness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Once on recruitment</w:t>
            </w:r>
          </w:p>
        </w:tc>
      </w:tr>
      <w:tr w:rsidR="003F4E19" w:rsidRPr="002F595F" w:rsidTr="001E00A6">
        <w:tc>
          <w:tcPr>
            <w:tcW w:w="2430" w:type="dxa"/>
            <w:vMerge w:val="restart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Blood component transfusion</w:t>
            </w: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Decision to Transfuse</w:t>
            </w: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3F4E19">
            <w:pPr>
              <w:pStyle w:val="GPSL2Numbered"/>
              <w:numPr>
                <w:ilvl w:val="1"/>
                <w:numId w:val="35"/>
              </w:numPr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Administration of blood components</w:t>
            </w: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3F4E19">
            <w:pPr>
              <w:pStyle w:val="GPSL2Numbered"/>
              <w:numPr>
                <w:ilvl w:val="1"/>
                <w:numId w:val="35"/>
              </w:numPr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Blood Sampling</w:t>
            </w: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  <w:tr w:rsidR="003F4E19" w:rsidRPr="002F595F" w:rsidTr="001E00A6">
        <w:tc>
          <w:tcPr>
            <w:tcW w:w="2430" w:type="dxa"/>
            <w:vMerge/>
            <w:vAlign w:val="center"/>
          </w:tcPr>
          <w:p w:rsidR="003F4E19" w:rsidRPr="002F595F" w:rsidRDefault="003F4E19" w:rsidP="003F4E19">
            <w:pPr>
              <w:pStyle w:val="GPSL2Numbered"/>
              <w:numPr>
                <w:ilvl w:val="1"/>
                <w:numId w:val="35"/>
              </w:numPr>
              <w:spacing w:before="60" w:after="60"/>
              <w:rPr>
                <w:rFonts w:asciiTheme="minorHAnsi" w:eastAsiaTheme="minorHAnsi" w:hAnsiTheme="minorHAnsi"/>
              </w:rPr>
            </w:pPr>
          </w:p>
        </w:tc>
        <w:tc>
          <w:tcPr>
            <w:tcW w:w="2430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Collection of blood components from storage and delivery to the clinical area</w:t>
            </w:r>
          </w:p>
        </w:tc>
        <w:tc>
          <w:tcPr>
            <w:tcW w:w="4367" w:type="dxa"/>
            <w:vAlign w:val="center"/>
          </w:tcPr>
          <w:p w:rsidR="003F4E19" w:rsidRPr="002F595F" w:rsidRDefault="003F4E19" w:rsidP="001E00A6">
            <w:pPr>
              <w:pStyle w:val="GPSL2Numbered"/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Three (3) Years</w:t>
            </w:r>
          </w:p>
        </w:tc>
      </w:tr>
    </w:tbl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pStyle w:val="GPSL2Numbered"/>
        <w:tabs>
          <w:tab w:val="clear" w:pos="1134"/>
        </w:tabs>
        <w:spacing w:before="60" w:after="60"/>
        <w:ind w:left="630"/>
        <w:rPr>
          <w:rFonts w:asciiTheme="minorHAnsi" w:eastAsiaTheme="minorHAnsi" w:hAnsiTheme="minorHAnsi"/>
        </w:rPr>
      </w:pPr>
      <w:r w:rsidRPr="002F595F">
        <w:rPr>
          <w:rFonts w:asciiTheme="minorHAnsi" w:hAnsiTheme="minorHAnsi"/>
          <w:color w:val="000000" w:themeColor="text1"/>
        </w:rPr>
        <w:t xml:space="preserve">Training will also be offered </w:t>
      </w:r>
      <w:r w:rsidRPr="002F595F">
        <w:rPr>
          <w:rFonts w:asciiTheme="minorHAnsi" w:eastAsiaTheme="minorHAnsi" w:hAnsiTheme="minorHAnsi"/>
        </w:rPr>
        <w:t>as required by the normal duties expected to be performed by the Temporary Agency Worker on the Assignment:</w:t>
      </w:r>
    </w:p>
    <w:p w:rsidR="003F4E19" w:rsidRPr="002F595F" w:rsidRDefault="003F4E19" w:rsidP="003F4E19">
      <w:pPr>
        <w:pStyle w:val="GPSL2Numbered"/>
        <w:tabs>
          <w:tab w:val="clear" w:pos="1134"/>
        </w:tabs>
        <w:spacing w:before="60" w:after="60"/>
        <w:ind w:left="630"/>
        <w:rPr>
          <w:rFonts w:asciiTheme="minorHAnsi" w:eastAsiaTheme="minorHAnsi" w:hAnsiTheme="minorHAnsi"/>
        </w:rPr>
      </w:pP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4860"/>
        <w:gridCol w:w="4320"/>
      </w:tblGrid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>Subject</w:t>
            </w:r>
          </w:p>
        </w:tc>
        <w:tc>
          <w:tcPr>
            <w:tcW w:w="43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  <w:b/>
              </w:rPr>
              <w:t xml:space="preserve">Once on recruitment and then followed by Participating Authority recommended proposed refresher period, </w:t>
            </w:r>
            <w:r w:rsidRPr="002F595F">
              <w:rPr>
                <w:rFonts w:asciiTheme="minorHAnsi" w:eastAsiaTheme="minorHAnsi" w:hAnsiTheme="minorHAnsi"/>
              </w:rPr>
              <w:t>although refresher training may be needed based upon local risk assessment</w:t>
            </w:r>
          </w:p>
        </w:tc>
      </w:tr>
      <w:tr w:rsidR="003F4E19" w:rsidRPr="002F595F" w:rsidTr="001E00A6">
        <w:tc>
          <w:tcPr>
            <w:tcW w:w="486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Complaints</w:t>
            </w:r>
          </w:p>
        </w:tc>
        <w:tc>
          <w:tcPr>
            <w:tcW w:w="43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Lone worker training</w:t>
            </w:r>
          </w:p>
        </w:tc>
        <w:tc>
          <w:tcPr>
            <w:tcW w:w="43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  <w:b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Food hygiene &amp; hygiene awareness</w:t>
            </w:r>
          </w:p>
        </w:tc>
        <w:tc>
          <w:tcPr>
            <w:tcW w:w="43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Mental Health Act</w:t>
            </w:r>
          </w:p>
        </w:tc>
        <w:tc>
          <w:tcPr>
            <w:tcW w:w="43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Mental Capacity Act</w:t>
            </w:r>
          </w:p>
        </w:tc>
        <w:tc>
          <w:tcPr>
            <w:tcW w:w="4320" w:type="dxa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Physical restraint skills and techniques, including personal safety and control &amp; restraint</w:t>
            </w:r>
          </w:p>
        </w:tc>
        <w:tc>
          <w:tcPr>
            <w:tcW w:w="43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Interpretation of cardiographs</w:t>
            </w:r>
          </w:p>
        </w:tc>
        <w:tc>
          <w:tcPr>
            <w:tcW w:w="43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>Annual</w:t>
            </w:r>
          </w:p>
        </w:tc>
      </w:tr>
      <w:tr w:rsidR="003F4E19" w:rsidRPr="002F595F" w:rsidTr="001E00A6">
        <w:tc>
          <w:tcPr>
            <w:tcW w:w="486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clear" w:pos="1134"/>
              </w:tabs>
              <w:spacing w:before="60" w:after="60"/>
              <w:rPr>
                <w:rFonts w:asciiTheme="minorHAnsi" w:eastAsiaTheme="minorHAnsi" w:hAnsiTheme="minorHAnsi"/>
                <w:lang w:eastAsia="en-US"/>
              </w:rPr>
            </w:pPr>
            <w:r w:rsidRPr="002F595F">
              <w:rPr>
                <w:rFonts w:asciiTheme="minorHAnsi" w:eastAsiaTheme="minorHAnsi" w:hAnsiTheme="minorHAnsi"/>
              </w:rPr>
              <w:t xml:space="preserve">Any additional statutory &amp; mandatory or clinical/care or other training </w:t>
            </w:r>
            <w:r w:rsidRPr="002F595F">
              <w:rPr>
                <w:rFonts w:asciiTheme="minorHAnsi" w:eastAsiaTheme="minorHAnsi" w:hAnsiTheme="minorHAnsi"/>
                <w:lang w:eastAsia="en-US"/>
              </w:rPr>
              <w:t>that the Participating Authority considers necessary and [or] as required by the relevant Professional Body relevant to the role required to be performed and identified in the individual Order and the Call-off Contract from time to time.</w:t>
            </w:r>
          </w:p>
        </w:tc>
        <w:tc>
          <w:tcPr>
            <w:tcW w:w="4320" w:type="dxa"/>
            <w:vAlign w:val="center"/>
          </w:tcPr>
          <w:p w:rsidR="003F4E19" w:rsidRPr="002F595F" w:rsidRDefault="003F4E19" w:rsidP="001E00A6">
            <w:pPr>
              <w:pStyle w:val="GPSL2Numbered"/>
              <w:tabs>
                <w:tab w:val="left" w:pos="1276"/>
              </w:tabs>
              <w:spacing w:before="60" w:after="60"/>
              <w:jc w:val="left"/>
              <w:rPr>
                <w:rFonts w:asciiTheme="minorHAnsi" w:eastAsiaTheme="minorHAnsi" w:hAnsiTheme="minorHAnsi"/>
              </w:rPr>
            </w:pPr>
            <w:r w:rsidRPr="002F595F">
              <w:rPr>
                <w:rFonts w:asciiTheme="minorHAnsi" w:eastAsiaTheme="minorHAnsi" w:hAnsiTheme="minorHAnsi"/>
              </w:rPr>
              <w:t xml:space="preserve">Annual </w:t>
            </w:r>
          </w:p>
        </w:tc>
      </w:tr>
    </w:tbl>
    <w:p w:rsidR="003F4E19" w:rsidRPr="002F595F" w:rsidRDefault="003F4E19" w:rsidP="003F4E19">
      <w:pPr>
        <w:pStyle w:val="GPSL2Numbered"/>
        <w:tabs>
          <w:tab w:val="clear" w:pos="1134"/>
        </w:tabs>
        <w:spacing w:before="60" w:after="60"/>
        <w:ind w:left="630"/>
        <w:rPr>
          <w:rFonts w:asciiTheme="minorHAnsi" w:eastAsiaTheme="minorHAnsi" w:hAnsiTheme="minorHAnsi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 xml:space="preserve"> Confirmation of training will be provided to the client as part of the booking/assignment confirmation.</w:t>
      </w:r>
    </w:p>
    <w:p w:rsidR="005246BC" w:rsidRPr="002F595F" w:rsidRDefault="005246BC" w:rsidP="003F4E19">
      <w:pPr>
        <w:spacing w:line="240" w:lineRule="auto"/>
        <w:contextualSpacing/>
        <w:rPr>
          <w:color w:val="000000" w:themeColor="text1"/>
        </w:rPr>
      </w:pPr>
    </w:p>
    <w:p w:rsidR="005246BC" w:rsidRPr="002F595F" w:rsidRDefault="005246BC" w:rsidP="003F4E19">
      <w:pPr>
        <w:spacing w:line="240" w:lineRule="auto"/>
        <w:contextualSpacing/>
        <w:rPr>
          <w:color w:val="000000" w:themeColor="text1"/>
        </w:rPr>
      </w:pPr>
      <w:r w:rsidRPr="002F595F">
        <w:rPr>
          <w:color w:val="000000" w:themeColor="text1"/>
        </w:rPr>
        <w:t>All training certificates will be retained on file, signed and dated as original seen.</w:t>
      </w: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p w:rsidR="003F4E19" w:rsidRPr="002F595F" w:rsidRDefault="003F4E19" w:rsidP="003F4E19">
      <w:pPr>
        <w:spacing w:line="240" w:lineRule="auto"/>
        <w:contextualSpacing/>
        <w:rPr>
          <w:color w:val="000000" w:themeColor="text1"/>
        </w:rPr>
      </w:pPr>
    </w:p>
    <w:sectPr w:rsidR="003F4E19" w:rsidRPr="002F595F" w:rsidSect="00716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3A" w:rsidRDefault="0038393A" w:rsidP="00FE5765">
      <w:pPr>
        <w:spacing w:after="0" w:line="240" w:lineRule="auto"/>
      </w:pPr>
      <w:r>
        <w:separator/>
      </w:r>
    </w:p>
  </w:endnote>
  <w:endnote w:type="continuationSeparator" w:id="0">
    <w:p w:rsidR="0038393A" w:rsidRDefault="0038393A" w:rsidP="00FE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 w:rsidP="00F63FC7">
    <w:pPr>
      <w:pStyle w:val="Footer"/>
    </w:pPr>
    <w:r>
      <w:t>Copyright</w:t>
    </w:r>
  </w:p>
  <w:p w:rsidR="00F63FC7" w:rsidRDefault="00F63FC7">
    <w:pPr>
      <w:pStyle w:val="Footer"/>
    </w:pPr>
    <w:r>
      <w:t>OC24/Policy/2015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3A" w:rsidRDefault="0038393A" w:rsidP="00FE5765">
      <w:pPr>
        <w:spacing w:after="0" w:line="240" w:lineRule="auto"/>
      </w:pPr>
      <w:r>
        <w:separator/>
      </w:r>
    </w:p>
  </w:footnote>
  <w:footnote w:type="continuationSeparator" w:id="0">
    <w:p w:rsidR="0038393A" w:rsidRDefault="0038393A" w:rsidP="00FE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C7" w:rsidRDefault="00F6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DB"/>
    <w:multiLevelType w:val="hybridMultilevel"/>
    <w:tmpl w:val="1AF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1DB"/>
    <w:multiLevelType w:val="hybridMultilevel"/>
    <w:tmpl w:val="328EF0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E7935"/>
    <w:multiLevelType w:val="hybridMultilevel"/>
    <w:tmpl w:val="5DB8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5AE5"/>
    <w:multiLevelType w:val="hybridMultilevel"/>
    <w:tmpl w:val="793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3727"/>
    <w:multiLevelType w:val="hybridMultilevel"/>
    <w:tmpl w:val="2C2A8BF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42CB"/>
    <w:multiLevelType w:val="hybridMultilevel"/>
    <w:tmpl w:val="DE3AD96E"/>
    <w:lvl w:ilvl="0" w:tplc="B12464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494"/>
    <w:multiLevelType w:val="hybridMultilevel"/>
    <w:tmpl w:val="863AE6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19700A8"/>
    <w:multiLevelType w:val="hybridMultilevel"/>
    <w:tmpl w:val="B0D452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157018"/>
    <w:multiLevelType w:val="hybridMultilevel"/>
    <w:tmpl w:val="3010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1FC0"/>
    <w:multiLevelType w:val="hybridMultilevel"/>
    <w:tmpl w:val="90A23B00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17B98"/>
    <w:multiLevelType w:val="hybridMultilevel"/>
    <w:tmpl w:val="4CC69A56"/>
    <w:lvl w:ilvl="0" w:tplc="60E4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1761E5"/>
    <w:multiLevelType w:val="hybridMultilevel"/>
    <w:tmpl w:val="C4E08136"/>
    <w:lvl w:ilvl="0" w:tplc="08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2" w15:restartNumberingAfterBreak="0">
    <w:nsid w:val="2A791EC5"/>
    <w:multiLevelType w:val="hybridMultilevel"/>
    <w:tmpl w:val="59EC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5D91"/>
    <w:multiLevelType w:val="hybridMultilevel"/>
    <w:tmpl w:val="4516D1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1D40F0"/>
    <w:multiLevelType w:val="hybridMultilevel"/>
    <w:tmpl w:val="004A6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CA46CB"/>
    <w:multiLevelType w:val="hybridMultilevel"/>
    <w:tmpl w:val="B6FE9D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1B0EFD"/>
    <w:multiLevelType w:val="hybridMultilevel"/>
    <w:tmpl w:val="7B1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22B"/>
    <w:multiLevelType w:val="multilevel"/>
    <w:tmpl w:val="CFF8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  <w:color w:val="003366"/>
        <w:sz w:val="4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3366"/>
        <w:sz w:val="4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3366"/>
        <w:sz w:val="4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3366"/>
        <w:sz w:val="4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3366"/>
        <w:sz w:val="4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3366"/>
        <w:sz w:val="4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3366"/>
        <w:sz w:val="4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3366"/>
        <w:sz w:val="40"/>
      </w:rPr>
    </w:lvl>
  </w:abstractNum>
  <w:abstractNum w:abstractNumId="18" w15:restartNumberingAfterBreak="0">
    <w:nsid w:val="3B091095"/>
    <w:multiLevelType w:val="hybridMultilevel"/>
    <w:tmpl w:val="C1A4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524"/>
    <w:multiLevelType w:val="hybridMultilevel"/>
    <w:tmpl w:val="5CCA1C9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84CA2"/>
    <w:multiLevelType w:val="hybridMultilevel"/>
    <w:tmpl w:val="3C7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12032"/>
    <w:multiLevelType w:val="hybridMultilevel"/>
    <w:tmpl w:val="A23E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7FCA"/>
    <w:multiLevelType w:val="hybridMultilevel"/>
    <w:tmpl w:val="760C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86FDC"/>
    <w:multiLevelType w:val="hybridMultilevel"/>
    <w:tmpl w:val="1AFA3032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965"/>
    <w:multiLevelType w:val="hybridMultilevel"/>
    <w:tmpl w:val="4C54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86817"/>
    <w:multiLevelType w:val="hybridMultilevel"/>
    <w:tmpl w:val="0C44CC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A2BE5"/>
    <w:multiLevelType w:val="multilevel"/>
    <w:tmpl w:val="302EB4C4"/>
    <w:lvl w:ilvl="0">
      <w:start w:val="1"/>
      <w:numFmt w:val="decimal"/>
      <w:pStyle w:val="MRSchedule1"/>
      <w:isLgl/>
      <w:lvlText w:val="Schedule %1"/>
      <w:lvlJc w:val="center"/>
      <w:pPr>
        <w:ind w:left="6220" w:firstLine="115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-236"/>
        </w:tabs>
        <w:ind w:left="-2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56"/>
        </w:tabs>
        <w:ind w:left="484" w:hanging="72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-956"/>
        </w:tabs>
        <w:ind w:left="1204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-956"/>
        </w:tabs>
        <w:ind w:left="1924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-956"/>
        </w:tabs>
        <w:ind w:left="2644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-956"/>
        </w:tabs>
        <w:ind w:left="3364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956"/>
        </w:tabs>
        <w:ind w:left="4084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956"/>
        </w:tabs>
        <w:ind w:left="4804" w:hanging="720"/>
      </w:pPr>
      <w:rPr>
        <w:rFonts w:cs="Times New Roman" w:hint="default"/>
      </w:rPr>
    </w:lvl>
  </w:abstractNum>
  <w:abstractNum w:abstractNumId="27" w15:restartNumberingAfterBreak="0">
    <w:nsid w:val="54F32406"/>
    <w:multiLevelType w:val="hybridMultilevel"/>
    <w:tmpl w:val="5EEE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E72CA"/>
    <w:multiLevelType w:val="hybridMultilevel"/>
    <w:tmpl w:val="08C6FD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6E15D6"/>
    <w:multiLevelType w:val="hybridMultilevel"/>
    <w:tmpl w:val="7E8E91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03537"/>
    <w:multiLevelType w:val="hybridMultilevel"/>
    <w:tmpl w:val="5B08AB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2E5A53"/>
    <w:multiLevelType w:val="hybridMultilevel"/>
    <w:tmpl w:val="EBE2C612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E50B0"/>
    <w:multiLevelType w:val="hybridMultilevel"/>
    <w:tmpl w:val="81A0484C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71E8E"/>
    <w:multiLevelType w:val="hybridMultilevel"/>
    <w:tmpl w:val="C8C48E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B1F1B00"/>
    <w:multiLevelType w:val="hybridMultilevel"/>
    <w:tmpl w:val="E5CC53FE"/>
    <w:lvl w:ilvl="0" w:tplc="C4A0B00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22"/>
  </w:num>
  <w:num w:numId="5">
    <w:abstractNumId w:val="6"/>
  </w:num>
  <w:num w:numId="6">
    <w:abstractNumId w:val="4"/>
  </w:num>
  <w:num w:numId="7">
    <w:abstractNumId w:val="19"/>
  </w:num>
  <w:num w:numId="8">
    <w:abstractNumId w:val="32"/>
  </w:num>
  <w:num w:numId="9">
    <w:abstractNumId w:val="31"/>
  </w:num>
  <w:num w:numId="10">
    <w:abstractNumId w:val="9"/>
  </w:num>
  <w:num w:numId="11">
    <w:abstractNumId w:val="7"/>
  </w:num>
  <w:num w:numId="12">
    <w:abstractNumId w:val="13"/>
  </w:num>
  <w:num w:numId="13">
    <w:abstractNumId w:val="30"/>
  </w:num>
  <w:num w:numId="14">
    <w:abstractNumId w:val="25"/>
  </w:num>
  <w:num w:numId="15">
    <w:abstractNumId w:val="15"/>
  </w:num>
  <w:num w:numId="16">
    <w:abstractNumId w:val="10"/>
  </w:num>
  <w:num w:numId="17">
    <w:abstractNumId w:val="29"/>
  </w:num>
  <w:num w:numId="18">
    <w:abstractNumId w:val="14"/>
  </w:num>
  <w:num w:numId="19">
    <w:abstractNumId w:val="1"/>
  </w:num>
  <w:num w:numId="20">
    <w:abstractNumId w:val="28"/>
  </w:num>
  <w:num w:numId="21">
    <w:abstractNumId w:val="17"/>
  </w:num>
  <w:num w:numId="22">
    <w:abstractNumId w:val="23"/>
  </w:num>
  <w:num w:numId="23">
    <w:abstractNumId w:val="34"/>
  </w:num>
  <w:num w:numId="24">
    <w:abstractNumId w:val="11"/>
  </w:num>
  <w:num w:numId="25">
    <w:abstractNumId w:val="8"/>
  </w:num>
  <w:num w:numId="26">
    <w:abstractNumId w:val="24"/>
  </w:num>
  <w:num w:numId="27">
    <w:abstractNumId w:val="21"/>
  </w:num>
  <w:num w:numId="28">
    <w:abstractNumId w:val="2"/>
  </w:num>
  <w:num w:numId="29">
    <w:abstractNumId w:val="3"/>
  </w:num>
  <w:num w:numId="30">
    <w:abstractNumId w:val="20"/>
  </w:num>
  <w:num w:numId="31">
    <w:abstractNumId w:val="5"/>
  </w:num>
  <w:num w:numId="32">
    <w:abstractNumId w:val="33"/>
  </w:num>
  <w:num w:numId="33">
    <w:abstractNumId w:val="27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D"/>
    <w:rsid w:val="000E3900"/>
    <w:rsid w:val="001F5683"/>
    <w:rsid w:val="00263DB0"/>
    <w:rsid w:val="00267F0D"/>
    <w:rsid w:val="00291757"/>
    <w:rsid w:val="002F595F"/>
    <w:rsid w:val="0038393A"/>
    <w:rsid w:val="003D0B1B"/>
    <w:rsid w:val="003D320D"/>
    <w:rsid w:val="003F4E19"/>
    <w:rsid w:val="00406A72"/>
    <w:rsid w:val="004850AC"/>
    <w:rsid w:val="004E7F40"/>
    <w:rsid w:val="005246BC"/>
    <w:rsid w:val="006B315D"/>
    <w:rsid w:val="006D1DFD"/>
    <w:rsid w:val="00712082"/>
    <w:rsid w:val="00716000"/>
    <w:rsid w:val="00941503"/>
    <w:rsid w:val="009C1E02"/>
    <w:rsid w:val="00A6249A"/>
    <w:rsid w:val="00BA310A"/>
    <w:rsid w:val="00C46FC8"/>
    <w:rsid w:val="00C76C2C"/>
    <w:rsid w:val="00E07606"/>
    <w:rsid w:val="00EC68EF"/>
    <w:rsid w:val="00F21466"/>
    <w:rsid w:val="00F63FC7"/>
    <w:rsid w:val="00F64D3B"/>
    <w:rsid w:val="00FD2C8F"/>
    <w:rsid w:val="00FD320E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63987-AFF5-4F82-B182-5110758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7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E576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80"/>
      <w:sz w:val="28"/>
    </w:rPr>
  </w:style>
  <w:style w:type="paragraph" w:styleId="Heading5">
    <w:name w:val="heading 5"/>
    <w:basedOn w:val="Normal"/>
    <w:next w:val="Normal"/>
    <w:link w:val="Heading5Char"/>
    <w:qFormat/>
    <w:rsid w:val="00FE576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E5765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0D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71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5765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5765"/>
    <w:rPr>
      <w:rFonts w:ascii="Arial" w:eastAsia="Times New Roman" w:hAnsi="Arial" w:cs="Times New Roman"/>
      <w:b/>
      <w:color w:val="000080"/>
      <w:sz w:val="28"/>
    </w:rPr>
  </w:style>
  <w:style w:type="character" w:customStyle="1" w:styleId="Heading5Char">
    <w:name w:val="Heading 5 Char"/>
    <w:basedOn w:val="DefaultParagraphFont"/>
    <w:link w:val="Heading5"/>
    <w:rsid w:val="00FE5765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E576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E5765"/>
    <w:pPr>
      <w:widowControl w:val="0"/>
      <w:spacing w:before="40" w:after="60" w:line="240" w:lineRule="auto"/>
      <w:jc w:val="both"/>
    </w:pPr>
    <w:rPr>
      <w:rFonts w:ascii="Arial" w:eastAsia="Times New Roman" w:hAnsi="Arial" w:cs="Times New Roman"/>
      <w:b/>
      <w:i/>
      <w:snapToGrid w:val="0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E5765"/>
    <w:rPr>
      <w:rFonts w:ascii="Arial" w:eastAsia="Times New Roman" w:hAnsi="Arial" w:cs="Times New Roman"/>
      <w:b/>
      <w:i/>
      <w:snapToGrid w:val="0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FE5765"/>
    <w:pPr>
      <w:spacing w:after="0" w:line="240" w:lineRule="auto"/>
    </w:pPr>
    <w:rPr>
      <w:rFonts w:ascii="Arial" w:eastAsia="Times New Roman" w:hAnsi="Arial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FE5765"/>
    <w:rPr>
      <w:rFonts w:ascii="Arial" w:eastAsia="Times New Roman" w:hAnsi="Arial" w:cs="Times New Roman"/>
      <w:bCs/>
      <w:sz w:val="24"/>
    </w:rPr>
  </w:style>
  <w:style w:type="paragraph" w:styleId="TOC1">
    <w:name w:val="toc 1"/>
    <w:basedOn w:val="Normal"/>
    <w:next w:val="Normal"/>
    <w:autoRedefine/>
    <w:semiHidden/>
    <w:rsid w:val="00FE5765"/>
    <w:pPr>
      <w:spacing w:after="0" w:line="240" w:lineRule="auto"/>
    </w:pPr>
    <w:rPr>
      <w:rFonts w:ascii="Arial Bold" w:eastAsia="Times New Roman" w:hAnsi="Arial Bold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76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</w:rPr>
  </w:style>
  <w:style w:type="character" w:customStyle="1" w:styleId="FooterChar">
    <w:name w:val="Footer Char"/>
    <w:basedOn w:val="DefaultParagraphFont"/>
    <w:link w:val="Footer"/>
    <w:uiPriority w:val="99"/>
    <w:rsid w:val="00FE5765"/>
    <w:rPr>
      <w:rFonts w:ascii="Arial" w:eastAsia="Times New Roman" w:hAnsi="Arial" w:cs="Times New Roman"/>
      <w:bCs/>
    </w:rPr>
  </w:style>
  <w:style w:type="paragraph" w:styleId="FootnoteText">
    <w:name w:val="footnote text"/>
    <w:basedOn w:val="Normal"/>
    <w:link w:val="FootnoteTextChar"/>
    <w:semiHidden/>
    <w:rsid w:val="00FE5765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5765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semiHidden/>
    <w:rsid w:val="00FE5765"/>
    <w:rPr>
      <w:vertAlign w:val="superscript"/>
    </w:rPr>
  </w:style>
  <w:style w:type="paragraph" w:styleId="ListNumber">
    <w:name w:val="List Number"/>
    <w:basedOn w:val="List"/>
    <w:rsid w:val="00FE5765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rsid w:val="00FE576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5765"/>
    <w:rPr>
      <w:rFonts w:ascii="Arial" w:eastAsia="Times New Roman" w:hAnsi="Arial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E5765"/>
    <w:pPr>
      <w:ind w:left="283" w:hanging="283"/>
      <w:contextualSpacing/>
    </w:pPr>
  </w:style>
  <w:style w:type="character" w:customStyle="1" w:styleId="apple-converted-space">
    <w:name w:val="apple-converted-space"/>
    <w:basedOn w:val="DefaultParagraphFont"/>
    <w:rsid w:val="006B315D"/>
  </w:style>
  <w:style w:type="character" w:styleId="Hyperlink">
    <w:name w:val="Hyperlink"/>
    <w:basedOn w:val="DefaultParagraphFont"/>
    <w:uiPriority w:val="99"/>
    <w:unhideWhenUsed/>
    <w:rsid w:val="00712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FD"/>
    <w:rPr>
      <w:rFonts w:ascii="Tahoma" w:hAnsi="Tahoma" w:cs="Tahoma"/>
      <w:sz w:val="16"/>
      <w:szCs w:val="16"/>
    </w:rPr>
  </w:style>
  <w:style w:type="paragraph" w:customStyle="1" w:styleId="GPSL2Numbered">
    <w:name w:val="GPS L2 Numbered"/>
    <w:basedOn w:val="Normal"/>
    <w:link w:val="GPSL2NumberedChar"/>
    <w:qFormat/>
    <w:rsid w:val="003F4E19"/>
    <w:pPr>
      <w:tabs>
        <w:tab w:val="left" w:pos="1134"/>
      </w:tabs>
      <w:adjustRightInd w:val="0"/>
      <w:spacing w:before="120" w:after="120" w:line="240" w:lineRule="auto"/>
      <w:jc w:val="both"/>
    </w:pPr>
    <w:rPr>
      <w:rFonts w:ascii="Arial" w:eastAsia="Times New Roman" w:hAnsi="Arial" w:cs="Arial"/>
      <w:lang w:eastAsia="zh-CN"/>
    </w:rPr>
  </w:style>
  <w:style w:type="character" w:customStyle="1" w:styleId="GPSL2NumberedChar">
    <w:name w:val="GPS L2 Numbered Char"/>
    <w:basedOn w:val="DefaultParagraphFont"/>
    <w:link w:val="GPSL2Numbered"/>
    <w:rsid w:val="003F4E19"/>
    <w:rPr>
      <w:rFonts w:ascii="Arial" w:eastAsia="Times New Roman" w:hAnsi="Arial" w:cs="Arial"/>
      <w:lang w:eastAsia="zh-CN"/>
    </w:rPr>
  </w:style>
  <w:style w:type="paragraph" w:customStyle="1" w:styleId="MRSchedule1">
    <w:name w:val="M&amp;R Schedule 1"/>
    <w:basedOn w:val="Normal"/>
    <w:next w:val="Normal"/>
    <w:rsid w:val="003F4E19"/>
    <w:pPr>
      <w:keepNext/>
      <w:keepLines/>
      <w:numPr>
        <w:numId w:val="35"/>
      </w:numPr>
      <w:spacing w:before="240" w:after="0" w:line="360" w:lineRule="auto"/>
      <w:ind w:left="0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9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5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llsforhealth.org.uk/services/item/146-core-skills-training-framewor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86CF-7D95-4578-932F-40FAB9B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Suzanna</cp:lastModifiedBy>
  <cp:revision>5</cp:revision>
  <dcterms:created xsi:type="dcterms:W3CDTF">2017-09-07T15:31:00Z</dcterms:created>
  <dcterms:modified xsi:type="dcterms:W3CDTF">2017-11-01T12:16:00Z</dcterms:modified>
</cp:coreProperties>
</file>